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0C4108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RGKiI.271R.1.2020</w:t>
      </w:r>
    </w:p>
    <w:p w:rsidR="00F6667F" w:rsidRPr="00E13317" w:rsidRDefault="000C4108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zawarta w dniu ...02.2020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r.  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="000C410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reprezentowaną</w:t>
      </w:r>
      <w:bookmarkStart w:id="0" w:name="_GoBack"/>
      <w:bookmarkEnd w:id="0"/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>Niniejszą umowę zawarto bez stosowania przepisów ustawy z dnia 29 stycznia 2004 r. Prawo  zamówień publicznych  (</w:t>
      </w:r>
      <w:proofErr w:type="spellStart"/>
      <w:r w:rsidRPr="00D97AB7">
        <w:rPr>
          <w:sz w:val="24"/>
          <w:szCs w:val="24"/>
        </w:rPr>
        <w:t>t.j</w:t>
      </w:r>
      <w:proofErr w:type="spellEnd"/>
      <w:r w:rsidRPr="00D97AB7">
        <w:rPr>
          <w:sz w:val="24"/>
          <w:szCs w:val="24"/>
        </w:rPr>
        <w:t>.: Dz. U. z 2018r.,  poz. 1986) na podstawie zwolnienia z art. 4 pkt 8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materiałów</w:t>
      </w: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biurowych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przewiduje 3 dostawy materiałów biurowych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8E11AA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8E11AA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8E11AA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8E11AA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1D2D63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od dnia   ____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.0</w:t>
      </w:r>
      <w:r w:rsidR="000C4108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2.2020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r. do dnia </w:t>
      </w:r>
      <w:r w:rsidR="000C4108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31.12.2020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r.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8E11AA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8E11AA">
        <w:rPr>
          <w:rFonts w:ascii="Times New Roman" w:hAnsi="Times New Roman"/>
          <w:color w:val="1A1617"/>
          <w:spacing w:val="1"/>
          <w:sz w:val="24"/>
          <w:lang w:val="pl-PL"/>
        </w:rPr>
        <w:t xml:space="preserve">wadliwe materiały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667F"/>
    <w:rsid w:val="00001353"/>
    <w:rsid w:val="000351BF"/>
    <w:rsid w:val="00046C63"/>
    <w:rsid w:val="000C4108"/>
    <w:rsid w:val="00185BF6"/>
    <w:rsid w:val="001D2D63"/>
    <w:rsid w:val="00480CDE"/>
    <w:rsid w:val="00567E97"/>
    <w:rsid w:val="005830BC"/>
    <w:rsid w:val="00592200"/>
    <w:rsid w:val="00593132"/>
    <w:rsid w:val="005C2336"/>
    <w:rsid w:val="005D01A4"/>
    <w:rsid w:val="00643BD5"/>
    <w:rsid w:val="007620F2"/>
    <w:rsid w:val="00884B37"/>
    <w:rsid w:val="008E11AA"/>
    <w:rsid w:val="008F0448"/>
    <w:rsid w:val="00943487"/>
    <w:rsid w:val="009E6D2D"/>
    <w:rsid w:val="00AB44F7"/>
    <w:rsid w:val="00BD64EE"/>
    <w:rsid w:val="00CC32D6"/>
    <w:rsid w:val="00D37FD2"/>
    <w:rsid w:val="00D95D7D"/>
    <w:rsid w:val="00E0447E"/>
    <w:rsid w:val="00E13317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25</cp:revision>
  <cp:lastPrinted>2017-02-16T07:43:00Z</cp:lastPrinted>
  <dcterms:created xsi:type="dcterms:W3CDTF">2017-02-15T07:52:00Z</dcterms:created>
  <dcterms:modified xsi:type="dcterms:W3CDTF">2020-01-29T08:34:00Z</dcterms:modified>
</cp:coreProperties>
</file>