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Barciany, dnia 23.07.2020 r.</w:t>
      </w:r>
    </w:p>
    <w:p>
      <w:pPr>
        <w:pStyle w:val="Normal"/>
        <w:rPr/>
      </w:pPr>
      <w:r>
        <w:rPr>
          <w:rFonts w:cs="Times New Roman"/>
          <w:sz w:val="24"/>
          <w:szCs w:val="24"/>
        </w:rPr>
        <w:t>Znak sprawy:</w:t>
      </w:r>
    </w:p>
    <w:p>
      <w:pPr>
        <w:pStyle w:val="Normal"/>
        <w:rPr>
          <w:sz w:val="22"/>
          <w:szCs w:val="22"/>
        </w:rPr>
      </w:pPr>
      <w:r>
        <w:rPr>
          <w:b/>
          <w:i/>
          <w:iCs/>
          <w:sz w:val="22"/>
          <w:szCs w:val="22"/>
          <w:lang w:bidi="pl-PL"/>
        </w:rPr>
        <w:t>RGKiI.271.13.2020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INFORMACJA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Dotyczy postępowania postępowaniu o udzielenie zamówienia publicznego pn. „Uruchomienie e-usług, zakup niezbędnej infrastruktury IT oraz wartości niematerialnych i prawnych” w ramach projektu pn. Rozwój elektronicznej administracji w Gminie Barciany.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Działając na podstawie art. 86 ust. 5 ustawy z dnia z dnia 29 stycznia 2004 r. Prawo zamówień publicznych (Dz.U. 2019 poz. 1843 z późn. zm.) Zamawiający zawiadamia, że kwota, jaką Zamawiający zamierza przeznaczyć na sfinansowanie zamówienia wynosi 1 036 890 zł brutto.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Zestawienie złożonych ofert:</w:t>
      </w:r>
    </w:p>
    <w:p>
      <w:pPr>
        <w:pStyle w:val="ListParagraph"/>
        <w:spacing w:lineRule="auto" w:line="276" w:before="0" w:after="12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52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09"/>
        <w:gridCol w:w="1170"/>
        <w:gridCol w:w="1243"/>
        <w:gridCol w:w="2012"/>
        <w:gridCol w:w="1425"/>
        <w:gridCol w:w="1065"/>
      </w:tblGrid>
      <w:tr>
        <w:trPr/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b/>
                <w:b/>
                <w:bCs/>
                <w:lang w:eastAsia="zh-CN" w:bidi="hi-IN"/>
              </w:rPr>
            </w:pPr>
            <w:bookmarkStart w:id="0" w:name="_Hlk45196880"/>
            <w:bookmarkEnd w:id="0"/>
            <w:r>
              <w:rPr>
                <w:rFonts w:eastAsia="SimSun" w:cs="Mangal"/>
                <w:b/>
                <w:bCs/>
                <w:lang w:eastAsia="zh-CN" w:bidi="hi-IN"/>
              </w:rPr>
              <w:t>Nazwa i adres Wykonawcy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b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Część zadania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b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Cena zł (brutto)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b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Termin wykonania zamówienia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b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Okres gwarancji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b/>
                <w:b/>
                <w:bCs/>
                <w:lang w:eastAsia="zh-CN" w:bidi="hi-IN"/>
              </w:rPr>
            </w:pPr>
            <w:r>
              <w:rPr>
                <w:rFonts w:eastAsia="SimSun" w:cs="Mangal"/>
                <w:b/>
                <w:bCs/>
                <w:lang w:eastAsia="zh-CN" w:bidi="hi-IN"/>
              </w:rPr>
              <w:t>Warunki płatności</w:t>
            </w:r>
          </w:p>
        </w:tc>
      </w:tr>
      <w:tr>
        <w:trPr/>
        <w:tc>
          <w:tcPr>
            <w:tcW w:w="2609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Sputnik Software Sp. z o.o.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ul. Klinkierowa 7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60-104 Poznań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I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990 986,40</w:t>
            </w:r>
          </w:p>
        </w:tc>
        <w:tc>
          <w:tcPr>
            <w:tcW w:w="20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Zgodnie z SIWZ</w:t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48 miesięcy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Zgodnie z SIWZ</w:t>
            </w:r>
          </w:p>
        </w:tc>
      </w:tr>
      <w:tr>
        <w:trPr/>
        <w:tc>
          <w:tcPr>
            <w:tcW w:w="2609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SimSun" w:cs="Mangal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Mangal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II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20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Liberation Serif" w:hAnsi="Liberation Serif" w:eastAsia="SimSun" w:cs="Mangal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Mangal" w:ascii="Liberation Serif" w:hAnsi="Liberation Serif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10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SimSun" w:cs="Mangal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Mangal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609" w:type="dxa"/>
            <w:vMerge w:val="restart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bookmarkStart w:id="1" w:name="_Hlk45196880"/>
            <w:bookmarkEnd w:id="1"/>
            <w:r>
              <w:rPr>
                <w:rFonts w:eastAsia="SimSun" w:cs="Mangal"/>
                <w:lang w:eastAsia="zh-CN" w:bidi="hi-IN"/>
              </w:rPr>
              <w:t>Sygnite S. A.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ul. Modlińska 199A/21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03-122 Warszawa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I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20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 w:ascii="Liberation Serif" w:hAnsi="Liberation Serif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SimSun" w:cs="Mangal"/>
                <w:lang w:eastAsia="zh-CN" w:bidi="hi-IN"/>
              </w:rPr>
            </w:pPr>
            <w:bookmarkStart w:id="2" w:name="_Hlk45197135"/>
            <w:bookmarkEnd w:id="2"/>
            <w:r>
              <w:rPr>
                <w:rFonts w:eastAsia="SimSun" w:cs="Mangal"/>
                <w:lang w:eastAsia="zh-CN" w:bidi="hi-IN"/>
              </w:rPr>
              <w:t>Zgodnie z SIWZ</w:t>
            </w:r>
          </w:p>
        </w:tc>
      </w:tr>
      <w:tr>
        <w:trPr/>
        <w:tc>
          <w:tcPr>
            <w:tcW w:w="2609" w:type="dxa"/>
            <w:vMerge w:val="continue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SimSun" w:cs="Mangal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Mangal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II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71 155,50</w:t>
            </w:r>
          </w:p>
        </w:tc>
        <w:tc>
          <w:tcPr>
            <w:tcW w:w="20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Zgodnie z SIWZ</w:t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36 miesięcy</w:t>
            </w:r>
          </w:p>
        </w:tc>
        <w:tc>
          <w:tcPr>
            <w:tcW w:w="10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113" w:type="dxa"/>
              <w:left w:w="110" w:type="dxa"/>
              <w:bottom w:w="113" w:type="dxa"/>
              <w:right w:w="11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SimSun" w:cs="Mangal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Mangal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SimSun" w:cs="Mangal"/>
          <w:sz w:val="24"/>
          <w:szCs w:val="24"/>
          <w:lang w:val="en-US" w:eastAsia="zh-CN" w:bidi="hi-IN"/>
        </w:rPr>
      </w:pPr>
      <w:r>
        <w:rPr>
          <w:rFonts w:eastAsia="SimSun" w:cs="Mangal" w:ascii="Liberation Serif" w:hAnsi="Liberation Serif"/>
          <w:sz w:val="24"/>
          <w:szCs w:val="24"/>
          <w:lang w:val="en-US" w:eastAsia="zh-CN" w:bidi="hi-IN"/>
        </w:rPr>
      </w:r>
    </w:p>
    <w:p>
      <w:pPr>
        <w:pStyle w:val="ListParagraph"/>
        <w:spacing w:lineRule="auto" w:line="276" w:before="0" w:after="12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uto" w:line="276" w:before="0" w:after="120"/>
        <w:ind w:left="0" w:hanging="0"/>
        <w:jc w:val="both"/>
        <w:rPr/>
      </w:pPr>
      <w:r>
        <w:rPr>
          <w:i/>
          <w:iCs/>
        </w:rPr>
        <w:t>Zgodnie z art. 24 ust. 11 ustawy Prawo zamówień publicznych, Wykonawca, w terminie 3 dni od dnia przekazania informacji, o której mowa w art. 86 ust. 5, przekazuje Zamawiającemu oświadczenie o przynależności lub braku przynależności do tej samej grupy kapitałowej, o której mowa w art. 24 ust. 1 pkt 23. Wraz ze złożeniem oświadczenia, wykonawca może przedstawić dowody, że powiązania z innym wykonawcą nie prowadzą do zakłócenia konkurencji w postępowaniu o udzielenie zamówienia (wzór oświadczenia określa załącznik Nr 5 do SIWZ).</w:t>
      </w:r>
    </w:p>
    <w:p>
      <w:pPr>
        <w:pStyle w:val="ListParagraph"/>
        <w:spacing w:lineRule="auto" w:line="276" w:before="0" w:after="120"/>
        <w:ind w:left="0" w:hanging="0"/>
        <w:jc w:val="both"/>
        <w:rPr/>
      </w:pPr>
      <w:r>
        <w:rPr>
          <w:i/>
          <w:iCs/>
        </w:rPr>
        <w:tab/>
        <w:tab/>
        <w:tab/>
        <w:tab/>
        <w:tab/>
        <w:tab/>
        <w:tab/>
        <w:tab/>
        <w:t>/</w:t>
      </w:r>
      <w:r>
        <w:rPr>
          <w:i/>
          <w:iCs/>
        </w:rPr>
        <w:t>-/ MARTA KAMIŃSKA</w:t>
      </w:r>
    </w:p>
    <w:p>
      <w:pPr>
        <w:pStyle w:val="ListParagraph"/>
        <w:spacing w:lineRule="auto" w:line="276" w:before="0" w:after="120"/>
        <w:ind w:left="0" w:hanging="0"/>
        <w:jc w:val="both"/>
        <w:rPr/>
      </w:pPr>
      <w:r>
        <w:rPr>
          <w:i/>
          <w:iCs/>
        </w:rPr>
        <w:tab/>
        <w:tab/>
        <w:tab/>
        <w:tab/>
        <w:tab/>
        <w:tab/>
        <w:tab/>
        <w:t xml:space="preserve">         WÓJT GMINY BARCIANY</w:t>
      </w:r>
    </w:p>
    <w:p>
      <w:pPr>
        <w:pStyle w:val="ListParagraph"/>
        <w:spacing w:lineRule="auto" w:line="276" w:before="0" w:after="120"/>
        <w:ind w:lef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/>
      </w:r>
    </w:p>
    <w:p>
      <w:pPr>
        <w:pStyle w:val="ListParagraph"/>
        <w:spacing w:lineRule="auto" w:line="276" w:before="0" w:after="120"/>
        <w:ind w:left="284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549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Times New Roman" w:hAnsi="Times New Roman" w:eastAsia="SimSun" w:cs="Arial Unicode MS"/>
      <w:color w:val="auto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6d3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6d32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b16d3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16d3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16d3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LibreOffice/5.3.3.2$Windows_X86_64 LibreOffice_project/3d9a8b4b4e538a85e0782bd6c2d430bafe583448</Application>
  <Pages>2</Pages>
  <Words>234</Words>
  <Characters>1314</Characters>
  <CharactersWithSpaces>1532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2020-07-23T11:07:00Z</dcterms:created>
  <dc:creator/>
  <dc:description/>
  <dc:language>pl-PL</dc:language>
  <cp:lastModifiedBy/>
  <dcterms:modified xsi:type="dcterms:W3CDTF">2020-07-23T15:11:02Z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